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257AF" w:rsidRDefault="00607217" w:rsidP="009F228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7217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5759450" cy="1569754"/>
            <wp:effectExtent l="19050" t="0" r="0" b="0"/>
            <wp:docPr id="2" name="Рисунок 1" descr="C:\Users\1234567\Desktop\Положение по индивидуальному учебному плану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7\Desktop\Положение по индивидуальному учебному плану 00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12" t="5882" r="8371" b="7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6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A0" w:rsidRPr="00827B16" w:rsidRDefault="005B382A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5B382A" w:rsidRPr="00827B16" w:rsidRDefault="005B382A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 </w:t>
      </w:r>
      <w:r w:rsidRPr="00827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промежуточной аттестации </w:t>
      </w:r>
      <w:r w:rsidR="00BA1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</w:t>
      </w:r>
      <w:r w:rsidRPr="00827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ихся и осуществлении текущего контроля их успеваемости</w:t>
      </w:r>
    </w:p>
    <w:p w:rsidR="00EC6BA0" w:rsidRPr="00203FD4" w:rsidRDefault="00203FD4" w:rsidP="00203FD4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3F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государственного казенного </w:t>
      </w:r>
      <w:r w:rsidR="003F7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</w:t>
      </w:r>
      <w:r w:rsidRPr="00203F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образовательного учреждения «</w:t>
      </w:r>
      <w:r w:rsidR="003F7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Pr="00203F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пециальная (коррекционная) общеобразователь</w:t>
      </w:r>
      <w:r w:rsidR="003F7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ная школа-интернат № 1</w:t>
      </w:r>
      <w:r w:rsidRPr="00203F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EC6BA0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FD4" w:rsidRPr="00827B16" w:rsidRDefault="00203FD4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82A" w:rsidRDefault="005B382A" w:rsidP="00827B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EC6BA0" w:rsidRPr="00827B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щие положения</w:t>
      </w:r>
    </w:p>
    <w:p w:rsidR="008350DF" w:rsidRPr="00194E1F" w:rsidRDefault="008350DF" w:rsidP="008350DF">
      <w:pPr>
        <w:pStyle w:val="a5"/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382A" w:rsidRPr="00194E1F" w:rsidRDefault="005B382A" w:rsidP="008D0FE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94E1F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 </w:t>
      </w:r>
      <w:r w:rsidR="00EC6BA0" w:rsidRPr="00194E1F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F546A8" w:rsidRPr="00194E1F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29</w:t>
      </w:r>
      <w:r w:rsidR="000F5126" w:rsidRPr="00194E1F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</w:t>
      </w:r>
      <w:r w:rsidR="00F546A8" w:rsidRPr="00194E1F">
        <w:rPr>
          <w:rFonts w:ascii="Times New Roman" w:hAnsi="Times New Roman" w:cs="Times New Roman"/>
          <w:sz w:val="24"/>
          <w:szCs w:val="24"/>
          <w:lang w:eastAsia="ru-RU"/>
        </w:rPr>
        <w:t xml:space="preserve">2012 </w:t>
      </w:r>
      <w:r w:rsidR="000F5126" w:rsidRPr="00194E1F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F546A8" w:rsidRPr="00194E1F">
        <w:rPr>
          <w:rFonts w:ascii="Times New Roman" w:hAnsi="Times New Roman" w:cs="Times New Roman"/>
          <w:sz w:val="24"/>
          <w:szCs w:val="24"/>
          <w:lang w:eastAsia="ru-RU"/>
        </w:rPr>
        <w:t xml:space="preserve">№ 273-ФЗ «Об образовании в Российской Федерации», </w:t>
      </w:r>
      <w:hyperlink r:id="rId6" w:anchor="7D20K3" w:history="1">
        <w:r w:rsidR="00194E1F" w:rsidRPr="00194E1F">
          <w:rPr>
            <w:rFonts w:ascii="Times New Roman" w:eastAsiaTheme="minorHAnsi" w:hAnsi="Times New Roman" w:cs="Times New Roman"/>
            <w:sz w:val="24"/>
            <w:szCs w:val="24"/>
            <w:shd w:val="clear" w:color="auto" w:fill="FFFFFF"/>
          </w:rPr>
          <w:t>приказом Министерства просвещения Российской Федерации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  <w:r w:rsidR="00B316DF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,</w:t>
      </w:r>
      <w:r w:rsidRPr="00194E1F">
        <w:rPr>
          <w:rFonts w:ascii="Times New Roman" w:hAnsi="Times New Roman" w:cs="Times New Roman"/>
          <w:sz w:val="24"/>
          <w:szCs w:val="24"/>
          <w:lang w:eastAsia="ru-RU"/>
        </w:rPr>
        <w:t>Уставом образовательной организации.</w:t>
      </w:r>
      <w:proofErr w:type="gramEnd"/>
    </w:p>
    <w:p w:rsidR="005B382A" w:rsidRPr="00203FD4" w:rsidRDefault="005B382A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C808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</w:t>
      </w:r>
      <w:r w:rsidR="00EF3CE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проведении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осуществлении текущего контроля их успеваемости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является локальным</w:t>
      </w:r>
      <w:r w:rsidR="00D00CC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нормативным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актом образовательно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808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EF3CE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регулирующим периодичность, порядок,  систему оценок и формы проведения промежуточной аттестации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текущего контроля 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успеваемости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350DF" w:rsidRPr="00203FD4" w:rsidRDefault="005B382A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6BA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текущим контролем успеваемости и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DC41F3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учащихся. 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C808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</w:t>
      </w:r>
      <w:r w:rsidR="00FD01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с образовательной программой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F5126" w:rsidRPr="00203FD4" w:rsidRDefault="00DC41F3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Проведениетекущего</w:t>
      </w:r>
      <w:proofErr w:type="spellEnd"/>
      <w:r w:rsidR="004B45A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успеваемости </w:t>
      </w:r>
      <w:r w:rsidR="000F512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направлено на обеспечение </w:t>
      </w:r>
      <w:r w:rsidR="004B45A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выстраивания образовательного процесса максимально эффективным образом</w:t>
      </w:r>
      <w:r w:rsidR="000F512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</w:t>
      </w:r>
      <w:r w:rsidR="000F5126" w:rsidRPr="00203FD4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</w:t>
      </w:r>
      <w:r w:rsidR="00C80884">
        <w:rPr>
          <w:rFonts w:ascii="Times New Roman" w:hAnsi="Times New Roman" w:cs="Times New Roman"/>
          <w:sz w:val="24"/>
          <w:szCs w:val="24"/>
        </w:rPr>
        <w:t xml:space="preserve"> 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 w:rsidR="000F5126" w:rsidRPr="00203FD4">
        <w:rPr>
          <w:rFonts w:ascii="Times New Roman" w:hAnsi="Times New Roman" w:cs="Times New Roman"/>
          <w:sz w:val="24"/>
          <w:szCs w:val="24"/>
        </w:rPr>
        <w:t>.</w:t>
      </w:r>
    </w:p>
    <w:p w:rsidR="008C23E9" w:rsidRPr="00203FD4" w:rsidRDefault="005B382A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C808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– это </w:t>
      </w:r>
      <w:r w:rsidR="000F512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0F5126" w:rsidRPr="00203FD4" w:rsidRDefault="000F5126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</w:t>
      </w:r>
      <w:r w:rsid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начиная со </w:t>
      </w:r>
      <w:r w:rsidR="007C5D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второго полугодия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второго класса.</w:t>
      </w:r>
    </w:p>
    <w:p w:rsidR="004B45A2" w:rsidRPr="003F7D3F" w:rsidRDefault="004B45A2" w:rsidP="003F7D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961EC" w:rsidRDefault="004B45A2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по каждому учебному предмету, курсу, дисциплине, модул</w:t>
      </w:r>
      <w:r w:rsid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 по итогам четверти</w:t>
      </w:r>
      <w:r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2C1" w:rsidRPr="003F7D3F" w:rsidRDefault="004172C1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Годовая промежуточная аттестация проводится на основе результатов четвертных промежуточных аттестаций, и представляет собой результат четвертной аттестации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случае, если учебный предмет, курс, дисциплина, модуль осваивался обучающимся в срок одной четверти, либо среднее арифметическое результатов четвертных аттестаций, в случае, если учебный предмет, курс, дисциплина, модуль осваивался обучающимся в срок более одной четверти.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Округление результата проводится </w:t>
      </w:r>
      <w:r w:rsidR="002324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учетом закона округления.</w:t>
      </w:r>
    </w:p>
    <w:p w:rsidR="004172C1" w:rsidRDefault="008961EC" w:rsidP="004172C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промежуточной аттестации определяются образовательной программой. </w:t>
      </w:r>
    </w:p>
    <w:p w:rsidR="00232460" w:rsidRPr="003F7D3F" w:rsidRDefault="00232460" w:rsidP="004172C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B382A" w:rsidRPr="00203FD4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и порядок проведения текущего контроля успеваемости </w:t>
      </w:r>
      <w:r w:rsidR="00BA117F" w:rsidRPr="00203F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</w:t>
      </w:r>
      <w:r w:rsidRPr="00203F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ихся</w:t>
      </w:r>
    </w:p>
    <w:p w:rsidR="0044466B" w:rsidRPr="00203FD4" w:rsidRDefault="0044466B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BB4052" w:rsidRPr="00203FD4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целях:</w:t>
      </w:r>
    </w:p>
    <w:p w:rsidR="00BB4052" w:rsidRPr="00203FD4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уровня </w:t>
      </w:r>
      <w:r w:rsidR="004C446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достижения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имися </w:t>
      </w:r>
      <w:r w:rsidR="004C446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052" w:rsidRPr="00203FD4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C446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оценки соответствия </w:t>
      </w:r>
      <w:r w:rsidR="00B23B6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 освоения образовательных программ  требовани</w:t>
      </w:r>
      <w:r w:rsidR="00AD44D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B23B6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ФГОС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052" w:rsidRPr="00203FD4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47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проведения учащимся самооценки, оценк</w:t>
      </w:r>
      <w:r w:rsidR="002F4A9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3A7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FB347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AD44D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работником с целью </w:t>
      </w:r>
      <w:r w:rsidR="00B643A7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AD44D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 совершенствования </w:t>
      </w:r>
      <w:r w:rsidR="00FB3478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CC1B81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3EDF" w:rsidRPr="00203FD4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E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 w:rsidR="00AD44D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82A" w:rsidRPr="00203FD4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определяются</w:t>
      </w:r>
      <w:r w:rsidR="00D00CC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</w:t>
      </w:r>
      <w:r w:rsidR="00CC1B81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CCA" w:rsidRPr="00203FD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Фиксация результатов текущего контроля осуществляется, как правило, по пятибалльной системе. Образовательной программой может быть предусмотрена иная шкала фиксации результатов освоения образов</w:t>
      </w:r>
      <w:r w:rsid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ательных программ (п</w:t>
      </w:r>
      <w:r w:rsidR="00D00CC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ятибалльная), а также может быть 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освоения.</w:t>
      </w:r>
    </w:p>
    <w:p w:rsidR="005B382A" w:rsidRPr="00203FD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первого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 в виде отметок по пятибалльной системе</w:t>
      </w:r>
      <w:r w:rsidR="00DA554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допустимо использовать только положительную и не различаемую по уровням фиксацию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6A32" w:rsidRPr="00203FD4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8961EC" w:rsidRPr="00203FD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61EC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 текущего контроля фиксируются в документах (классных журналах и иных установленных документах).</w:t>
      </w:r>
    </w:p>
    <w:p w:rsidR="008961EC" w:rsidRPr="00203FD4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Успеваемость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ихся, занимающихся по индивидуальному учебному плану,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 w:rsidR="008961EC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Pr="003F7D3F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Педагогические работники доводят до сведения родителей (законных представителей)  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proofErr w:type="gramEnd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(законными представителями) учащихся обязаны прокомментировать результаты текущего контроля успеваемости учащихся в устной форме. Родители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</w:t>
      </w:r>
      <w:r w:rsidR="003F7D3F"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 </w:t>
      </w:r>
      <w:r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классному руководи</w:t>
      </w:r>
      <w:r w:rsidR="003F7D3F"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телю </w:t>
      </w:r>
      <w:r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5B382A" w:rsidRPr="00203FD4" w:rsidRDefault="005B382A" w:rsidP="00203FD4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  <w:highlight w:val="yellow"/>
          <w:lang w:eastAsia="ru-RU"/>
        </w:rPr>
      </w:pPr>
    </w:p>
    <w:p w:rsidR="005B382A" w:rsidRPr="00203FD4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:rsidR="00603EA8" w:rsidRPr="00203FD4" w:rsidRDefault="00603EA8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Целями проведения промежуточной аттестации являются: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соотнесение этого уровня с требованиями ФГОС;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203FD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потребности учащегося в осуществлении образовательной деятельности,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Промежуточная аттестация в Организации 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Формами промежуточной аттестации являются: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устная проверка – устный ответ учащегося на один или систему вопросов в форме ответа на билеты,  беседы, собеседования и </w:t>
      </w:r>
      <w:proofErr w:type="gramStart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комбинированная проверка - сочетание письменных и устных форм проверок.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Иные формы промежуточной аттестации могут предусматриваться образовательной программой. </w:t>
      </w:r>
    </w:p>
    <w:p w:rsidR="008350DF" w:rsidRPr="00203FD4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</w:t>
      </w:r>
      <w:r w:rsidR="006A4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мотрена накопительная бал</w:t>
      </w:r>
      <w:bookmarkStart w:id="9" w:name="_GoBack"/>
      <w:bookmarkEnd w:id="9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ьная система зачета результатов деятельности обучающегося. </w:t>
      </w:r>
    </w:p>
    <w:p w:rsidR="00CC1B81" w:rsidRPr="00203FD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57B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</w:t>
      </w:r>
      <w:r w:rsid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точной аттестации (п</w:t>
      </w:r>
      <w:r w:rsidR="007257B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ятибалльная), а также может быть предусмотрена фиксация удовлетворительного  либо неудовлетворительного результата промежуточной аттестации без разделения на уровни.</w:t>
      </w:r>
    </w:p>
    <w:p w:rsidR="009336C3" w:rsidRPr="00203FD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пропуске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 w:rsidR="009336C3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предмета,</w:t>
      </w:r>
      <w:r w:rsidR="009336C3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40136E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336C3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D04178" w:rsidRPr="003F7D3F" w:rsidRDefault="005B382A" w:rsidP="003F7D3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4497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</w:t>
      </w:r>
      <w:r w:rsidR="00A9146E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рок</w:t>
      </w:r>
      <w:r w:rsidR="00C04497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 и порядка</w:t>
      </w:r>
      <w:r w:rsidR="000D29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5ED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проведения промежуточной </w:t>
      </w:r>
      <w:r w:rsidR="00A9146E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аттестации </w:t>
      </w:r>
      <w:r w:rsidR="00A17D4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могут быть установлены Организацией для следующих категорий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9225ED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="006D5A0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заявлению учащихся (их законных представителей)</w:t>
      </w:r>
      <w:r w:rsidR="00A17D4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AD590A"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</w:p>
    <w:p w:rsidR="005B382A" w:rsidRPr="00203FD4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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выезжающи</w:t>
      </w:r>
      <w:r w:rsidR="00A17D4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учебно-тренировочные сборы</w:t>
      </w:r>
      <w:r w:rsidR="006D5A0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сборы</w:t>
      </w:r>
      <w:proofErr w:type="gramEnd"/>
      <w:r w:rsidR="006D5A0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иные подобные мероприятия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5A00" w:rsidRPr="00203FD4" w:rsidRDefault="00AD590A" w:rsidP="006579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="005B382A" w:rsidRPr="00203FD4">
        <w:rPr>
          <w:rFonts w:ascii="Symbol" w:hAnsi="Symbol" w:cs="Times New Roman"/>
          <w:color w:val="000000"/>
          <w:sz w:val="24"/>
          <w:szCs w:val="24"/>
          <w:lang w:eastAsia="ru-RU"/>
        </w:rPr>
        <w:t>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отъезжающи</w:t>
      </w:r>
      <w:r w:rsidR="00A17D4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постоянное место жительства за рубеж</w:t>
      </w:r>
      <w:r w:rsidR="006D5A0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7887" w:rsidRPr="003F7D3F" w:rsidRDefault="00D04178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6D5A00"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иных учащихся </w:t>
      </w:r>
      <w:r w:rsid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решению </w:t>
      </w:r>
      <w:r w:rsidR="00AC7887"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ческого совета</w:t>
      </w:r>
      <w:r w:rsidR="00AC7887"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B382A" w:rsidRPr="00203FD4" w:rsidRDefault="006D5A00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A9146E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r w:rsidR="00AC14E2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обучающихся по индивидуальному учебному плану, сроки и порядок проведения </w:t>
      </w:r>
      <w:r w:rsidR="00A9146E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определяются индивидуальным учебным планом.</w:t>
      </w:r>
    </w:p>
    <w:p w:rsidR="005B382A" w:rsidRPr="00203FD4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704A64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3F37A6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82A" w:rsidRPr="00203FD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382A" w:rsidRPr="000D294E" w:rsidRDefault="005B382A" w:rsidP="000D29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294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r w:rsidR="00BA117F" w:rsidRPr="000D294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</w:t>
      </w:r>
      <w:r w:rsidRPr="000D294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ихся в следующий класс</w:t>
      </w:r>
    </w:p>
    <w:p w:rsidR="008350DF" w:rsidRPr="00203FD4" w:rsidRDefault="008350DF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5B382A" w:rsidRPr="00203FD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D5A0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0D29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иеся, освоившие в полном объёме </w:t>
      </w:r>
      <w:r w:rsidR="006D5A0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соответствующую часть </w:t>
      </w:r>
      <w:r w:rsidR="0079495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6D5A0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D29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6D5A00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9146E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переводятся в следующий класс.</w:t>
      </w:r>
    </w:p>
    <w:p w:rsidR="005B382A" w:rsidRPr="00203FD4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0D29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прохождение промежуточной аттестации при отсутствии уважительных причин признаются академической задолженностью. </w:t>
      </w:r>
    </w:p>
    <w:p w:rsidR="005B382A" w:rsidRPr="00203FD4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0D29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иеся обязаны ликвидировать академическую задолженность.</w:t>
      </w:r>
    </w:p>
    <w:p w:rsidR="005B382A" w:rsidRPr="00203FD4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A64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создает 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емуся для ликвидации академической задолженности и обеспечи</w:t>
      </w:r>
      <w:r w:rsidR="00F0765B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вает </w:t>
      </w:r>
      <w:proofErr w:type="gramStart"/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ее ликвидации.</w:t>
      </w:r>
    </w:p>
    <w:p w:rsidR="005B382A" w:rsidRPr="00203FD4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704A64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8C23E9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   в 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установленный данным пунктом срок 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момента образования академической задолженности. В указанный период не включаются время болезни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егося.</w:t>
      </w:r>
    </w:p>
    <w:p w:rsidR="00F0765B" w:rsidRPr="003F7D3F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Учащиеся обязаны ликвидировать академическую задолженность </w:t>
      </w:r>
      <w:r w:rsidR="00CC50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месяца с момента возникновения. В указанный срок не включается время каникул.</w:t>
      </w:r>
      <w:r w:rsidRPr="003F7D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9495F" w:rsidRPr="00203FD4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r w:rsidR="0040136E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ликвидации академической задолженности 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второй раз </w:t>
      </w:r>
      <w:r w:rsidR="0040136E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рганизацией создается комиссия.</w:t>
      </w:r>
    </w:p>
    <w:p w:rsidR="005B382A" w:rsidRPr="00203FD4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взимание платы с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за прохождение промежуточной аттестации.</w:t>
      </w:r>
    </w:p>
    <w:p w:rsidR="005B382A" w:rsidRPr="00203FD4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.8.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5B382A" w:rsidRPr="00203FD4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.9</w:t>
      </w:r>
      <w:r w:rsidR="00AD590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7C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A117F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иеся в </w:t>
      </w:r>
      <w:r w:rsidR="00704A64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 образовательным программам начального общего, основного общего образования</w:t>
      </w:r>
      <w:r w:rsidR="006D1FB7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среднего общего образования</w:t>
      </w:r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="005B382A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F57582" w:rsidRPr="00203FD4" w:rsidRDefault="00F57582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информирует родителей учащегося о необходимости принятия решения </w:t>
      </w:r>
      <w:r w:rsidR="00C04497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организации дальнейшего обучения учащегося</w:t>
      </w:r>
      <w:r w:rsidR="00F0765B"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203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441" w:rsidRPr="00203FD4" w:rsidRDefault="00B20441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B20441" w:rsidRPr="00203FD4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650EF"/>
    <w:rsid w:val="00033938"/>
    <w:rsid w:val="0006157F"/>
    <w:rsid w:val="00091A49"/>
    <w:rsid w:val="00093F84"/>
    <w:rsid w:val="000A03CF"/>
    <w:rsid w:val="000D294E"/>
    <w:rsid w:val="000F208F"/>
    <w:rsid w:val="000F5126"/>
    <w:rsid w:val="00106D7A"/>
    <w:rsid w:val="00121C1D"/>
    <w:rsid w:val="001414D9"/>
    <w:rsid w:val="00184515"/>
    <w:rsid w:val="00194E1F"/>
    <w:rsid w:val="001B2B94"/>
    <w:rsid w:val="001B630E"/>
    <w:rsid w:val="00203FD4"/>
    <w:rsid w:val="0023236B"/>
    <w:rsid w:val="00232460"/>
    <w:rsid w:val="0023444C"/>
    <w:rsid w:val="00246DBB"/>
    <w:rsid w:val="002470A5"/>
    <w:rsid w:val="002F4A90"/>
    <w:rsid w:val="002F72FA"/>
    <w:rsid w:val="00323089"/>
    <w:rsid w:val="003A0C5A"/>
    <w:rsid w:val="003F37A6"/>
    <w:rsid w:val="003F7D3F"/>
    <w:rsid w:val="0040136E"/>
    <w:rsid w:val="004172C1"/>
    <w:rsid w:val="004426D5"/>
    <w:rsid w:val="0044466B"/>
    <w:rsid w:val="00445B6A"/>
    <w:rsid w:val="00446C3B"/>
    <w:rsid w:val="00453AEB"/>
    <w:rsid w:val="004600B5"/>
    <w:rsid w:val="004B45A2"/>
    <w:rsid w:val="004C446A"/>
    <w:rsid w:val="00523D8E"/>
    <w:rsid w:val="00526A32"/>
    <w:rsid w:val="0053112F"/>
    <w:rsid w:val="00540453"/>
    <w:rsid w:val="00567D58"/>
    <w:rsid w:val="00576CFC"/>
    <w:rsid w:val="005805CB"/>
    <w:rsid w:val="005A2524"/>
    <w:rsid w:val="005B165D"/>
    <w:rsid w:val="005B382A"/>
    <w:rsid w:val="005D52F9"/>
    <w:rsid w:val="00603EA8"/>
    <w:rsid w:val="00607217"/>
    <w:rsid w:val="006579BF"/>
    <w:rsid w:val="00660D40"/>
    <w:rsid w:val="00662E95"/>
    <w:rsid w:val="006A1888"/>
    <w:rsid w:val="006A4A11"/>
    <w:rsid w:val="006D1FB7"/>
    <w:rsid w:val="006D5A00"/>
    <w:rsid w:val="006E3EDF"/>
    <w:rsid w:val="00704A64"/>
    <w:rsid w:val="00711E81"/>
    <w:rsid w:val="007257BF"/>
    <w:rsid w:val="007310C4"/>
    <w:rsid w:val="00732D7A"/>
    <w:rsid w:val="0074052B"/>
    <w:rsid w:val="0074535C"/>
    <w:rsid w:val="00753072"/>
    <w:rsid w:val="00770BBF"/>
    <w:rsid w:val="007767B4"/>
    <w:rsid w:val="0078221D"/>
    <w:rsid w:val="0079495F"/>
    <w:rsid w:val="007C337C"/>
    <w:rsid w:val="007C5D9E"/>
    <w:rsid w:val="007D25AA"/>
    <w:rsid w:val="00827B16"/>
    <w:rsid w:val="008350DF"/>
    <w:rsid w:val="00846728"/>
    <w:rsid w:val="008961EC"/>
    <w:rsid w:val="008C23E9"/>
    <w:rsid w:val="008D0FEF"/>
    <w:rsid w:val="008D2175"/>
    <w:rsid w:val="00904D74"/>
    <w:rsid w:val="00916D0B"/>
    <w:rsid w:val="009225ED"/>
    <w:rsid w:val="009336C3"/>
    <w:rsid w:val="009425C6"/>
    <w:rsid w:val="009571E9"/>
    <w:rsid w:val="009F2285"/>
    <w:rsid w:val="00A17D42"/>
    <w:rsid w:val="00A3174E"/>
    <w:rsid w:val="00A9146E"/>
    <w:rsid w:val="00AC14E2"/>
    <w:rsid w:val="00AC7887"/>
    <w:rsid w:val="00AD109E"/>
    <w:rsid w:val="00AD3DCF"/>
    <w:rsid w:val="00AD44DA"/>
    <w:rsid w:val="00AD590A"/>
    <w:rsid w:val="00B20441"/>
    <w:rsid w:val="00B23B6A"/>
    <w:rsid w:val="00B316DF"/>
    <w:rsid w:val="00B33667"/>
    <w:rsid w:val="00B41824"/>
    <w:rsid w:val="00B643A7"/>
    <w:rsid w:val="00B720A1"/>
    <w:rsid w:val="00BA117F"/>
    <w:rsid w:val="00BA5E05"/>
    <w:rsid w:val="00BB21FA"/>
    <w:rsid w:val="00BB4052"/>
    <w:rsid w:val="00C04497"/>
    <w:rsid w:val="00C144EF"/>
    <w:rsid w:val="00C650EF"/>
    <w:rsid w:val="00C73B3F"/>
    <w:rsid w:val="00C80884"/>
    <w:rsid w:val="00C947E8"/>
    <w:rsid w:val="00CC1B81"/>
    <w:rsid w:val="00CC5037"/>
    <w:rsid w:val="00D00CCA"/>
    <w:rsid w:val="00D04178"/>
    <w:rsid w:val="00D07AAE"/>
    <w:rsid w:val="00D23468"/>
    <w:rsid w:val="00D501DD"/>
    <w:rsid w:val="00DA5546"/>
    <w:rsid w:val="00DB06CE"/>
    <w:rsid w:val="00DC41F3"/>
    <w:rsid w:val="00DE1D25"/>
    <w:rsid w:val="00E257AF"/>
    <w:rsid w:val="00E7678F"/>
    <w:rsid w:val="00E86BDB"/>
    <w:rsid w:val="00EC3934"/>
    <w:rsid w:val="00EC6BA0"/>
    <w:rsid w:val="00EE03B5"/>
    <w:rsid w:val="00EF3CE8"/>
    <w:rsid w:val="00F0765B"/>
    <w:rsid w:val="00F546A8"/>
    <w:rsid w:val="00F57582"/>
    <w:rsid w:val="00F64662"/>
    <w:rsid w:val="00F963A2"/>
    <w:rsid w:val="00FB3478"/>
    <w:rsid w:val="00FC7CA9"/>
    <w:rsid w:val="00FD01B3"/>
    <w:rsid w:val="00FD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03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link w:val="af"/>
    <w:qFormat/>
    <w:rsid w:val="00203FD4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203FD4"/>
    <w:rPr>
      <w:rFonts w:ascii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33407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1234567</cp:lastModifiedBy>
  <cp:revision>2</cp:revision>
  <cp:lastPrinted>2022-04-26T05:32:00Z</cp:lastPrinted>
  <dcterms:created xsi:type="dcterms:W3CDTF">2022-05-04T10:00:00Z</dcterms:created>
  <dcterms:modified xsi:type="dcterms:W3CDTF">2022-05-04T10:00:00Z</dcterms:modified>
</cp:coreProperties>
</file>